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90"/>
        <w:ind w:firstLine="1165" w:firstLineChars="400"/>
        <w:jc w:val="left"/>
        <w:rPr>
          <w:rFonts w:asciiTheme="majorEastAsia" w:hAnsiTheme="majorEastAsia" w:eastAsiaTheme="majorEastAsia"/>
          <w:b/>
          <w:color w:val="282828"/>
          <w:sz w:val="29"/>
          <w:szCs w:val="29"/>
        </w:rPr>
      </w:pPr>
      <w:r>
        <w:rPr>
          <w:rFonts w:hint="eastAsia" w:asciiTheme="majorEastAsia" w:hAnsiTheme="majorEastAsia" w:eastAsiaTheme="majorEastAsia"/>
          <w:b/>
          <w:color w:val="282828"/>
          <w:sz w:val="29"/>
          <w:szCs w:val="29"/>
        </w:rPr>
        <w:t>我校10项国家自然科学基金申报课题获批立项</w:t>
      </w:r>
    </w:p>
    <w:tbl>
      <w:tblPr>
        <w:tblStyle w:val="3"/>
        <w:tblpPr w:leftFromText="180" w:rightFromText="180" w:vertAnchor="text" w:horzAnchor="margin" w:tblpXSpec="center" w:tblpY="635"/>
        <w:tblW w:w="10314" w:type="dxa"/>
        <w:tblInd w:w="0" w:type="dxa"/>
        <w:tblLayout w:type="autofit"/>
        <w:tblCellMar>
          <w:top w:w="0" w:type="dxa"/>
          <w:left w:w="108" w:type="dxa"/>
          <w:bottom w:w="0" w:type="dxa"/>
          <w:right w:w="108" w:type="dxa"/>
        </w:tblCellMar>
      </w:tblPr>
      <w:tblGrid>
        <w:gridCol w:w="724"/>
        <w:gridCol w:w="1195"/>
        <w:gridCol w:w="931"/>
        <w:gridCol w:w="1418"/>
        <w:gridCol w:w="2835"/>
        <w:gridCol w:w="1936"/>
        <w:gridCol w:w="1275"/>
      </w:tblGrid>
      <w:tr>
        <w:tblPrEx>
          <w:tblCellMar>
            <w:top w:w="0" w:type="dxa"/>
            <w:left w:w="108" w:type="dxa"/>
            <w:bottom w:w="0" w:type="dxa"/>
            <w:right w:w="108" w:type="dxa"/>
          </w:tblCellMar>
        </w:tblPrEx>
        <w:trPr>
          <w:trHeight w:val="588" w:hRule="atLeast"/>
        </w:trPr>
        <w:tc>
          <w:tcPr>
            <w:tcW w:w="10314" w:type="dxa"/>
            <w:gridSpan w:val="7"/>
            <w:tcBorders>
              <w:bottom w:val="single" w:color="auto" w:sz="4" w:space="0"/>
            </w:tcBorders>
            <w:shd w:val="clear" w:color="auto" w:fill="auto"/>
            <w:vAlign w:val="center"/>
          </w:tcPr>
          <w:p>
            <w:pPr>
              <w:widowControl/>
              <w:jc w:val="center"/>
              <w:rPr>
                <w:rFonts w:ascii="Arial" w:hAnsi="Arial" w:eastAsia="宋体" w:cs="Arial"/>
                <w:b/>
                <w:bCs/>
                <w:color w:val="333333"/>
                <w:kern w:val="0"/>
                <w:sz w:val="22"/>
              </w:rPr>
            </w:pPr>
            <w:r>
              <w:rPr>
                <w:rFonts w:hint="eastAsia" w:ascii="楷体_GB2312" w:hAnsi="Times New Roman" w:eastAsia="楷体_GB2312" w:cs="Times New Roman"/>
                <w:color w:val="333333"/>
                <w:kern w:val="0"/>
                <w:sz w:val="30"/>
                <w:szCs w:val="30"/>
                <w:shd w:val="clear" w:color="auto" w:fill="FFFFFF"/>
              </w:rPr>
              <w:t>2023年获批国家自然科学基金项目</w:t>
            </w:r>
          </w:p>
        </w:tc>
      </w:tr>
      <w:tr>
        <w:tblPrEx>
          <w:tblCellMar>
            <w:top w:w="0" w:type="dxa"/>
            <w:left w:w="108" w:type="dxa"/>
            <w:bottom w:w="0" w:type="dxa"/>
            <w:right w:w="108" w:type="dxa"/>
          </w:tblCellMar>
        </w:tblPrEx>
        <w:trPr>
          <w:trHeight w:val="588"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Cs w:val="21"/>
              </w:rPr>
            </w:pPr>
            <w:r>
              <w:rPr>
                <w:rFonts w:ascii="Arial" w:hAnsi="Arial" w:eastAsia="宋体" w:cs="Arial"/>
                <w:b/>
                <w:bCs/>
                <w:color w:val="333333"/>
                <w:kern w:val="0"/>
                <w:szCs w:val="21"/>
              </w:rPr>
              <w:t>序号</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Cs w:val="21"/>
              </w:rPr>
            </w:pPr>
            <w:r>
              <w:rPr>
                <w:rFonts w:ascii="Arial" w:hAnsi="Arial" w:eastAsia="宋体" w:cs="Arial"/>
                <w:b/>
                <w:bCs/>
                <w:color w:val="333333"/>
                <w:kern w:val="0"/>
                <w:szCs w:val="21"/>
              </w:rPr>
              <w:t>项目批准号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Cs w:val="21"/>
              </w:rPr>
            </w:pPr>
            <w:r>
              <w:rPr>
                <w:rFonts w:ascii="Arial" w:hAnsi="Arial" w:eastAsia="宋体" w:cs="Arial"/>
                <w:b/>
                <w:bCs/>
                <w:color w:val="333333"/>
                <w:kern w:val="0"/>
                <w:szCs w:val="21"/>
              </w:rPr>
              <w:t>负责人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Cs w:val="21"/>
              </w:rPr>
            </w:pPr>
            <w:r>
              <w:rPr>
                <w:rFonts w:ascii="Arial" w:hAnsi="Arial" w:eastAsia="宋体" w:cs="Arial"/>
                <w:b/>
                <w:bCs/>
                <w:color w:val="333333"/>
                <w:kern w:val="0"/>
                <w:szCs w:val="21"/>
              </w:rPr>
              <w:t>院系所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Cs w:val="21"/>
              </w:rPr>
            </w:pPr>
            <w:r>
              <w:rPr>
                <w:rFonts w:ascii="Arial" w:hAnsi="Arial" w:eastAsia="宋体" w:cs="Arial"/>
                <w:b/>
                <w:bCs/>
                <w:color w:val="333333"/>
                <w:kern w:val="0"/>
                <w:szCs w:val="21"/>
              </w:rPr>
              <w:t>项目名称</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Cs w:val="21"/>
              </w:rPr>
            </w:pPr>
            <w:r>
              <w:rPr>
                <w:rFonts w:ascii="Arial" w:hAnsi="Arial" w:eastAsia="宋体" w:cs="Arial"/>
                <w:b/>
                <w:bCs/>
                <w:color w:val="333333"/>
                <w:kern w:val="0"/>
                <w:szCs w:val="21"/>
              </w:rPr>
              <w:t>项目类别</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b/>
                <w:bCs/>
                <w:color w:val="333333"/>
                <w:kern w:val="0"/>
                <w:sz w:val="22"/>
              </w:rPr>
            </w:pPr>
            <w:r>
              <w:rPr>
                <w:rFonts w:hint="eastAsia" w:ascii="宋体" w:hAnsi="宋体" w:eastAsia="宋体" w:cs="Arial"/>
                <w:b/>
                <w:bCs/>
                <w:color w:val="333333"/>
                <w:kern w:val="0"/>
                <w:sz w:val="22"/>
              </w:rPr>
              <w:t>批准经费</w:t>
            </w:r>
            <w:r>
              <w:rPr>
                <w:rFonts w:ascii="Arial" w:hAnsi="Arial" w:eastAsia="宋体" w:cs="Arial"/>
                <w:b/>
                <w:bCs/>
                <w:color w:val="333333"/>
                <w:kern w:val="0"/>
                <w:sz w:val="22"/>
              </w:rPr>
              <w:t>(</w:t>
            </w:r>
            <w:r>
              <w:rPr>
                <w:rFonts w:hint="eastAsia" w:ascii="宋体" w:hAnsi="宋体" w:eastAsia="宋体" w:cs="Arial"/>
                <w:b/>
                <w:bCs/>
                <w:color w:val="333333"/>
                <w:kern w:val="0"/>
                <w:sz w:val="22"/>
              </w:rPr>
              <w:t>万元）</w:t>
            </w:r>
          </w:p>
        </w:tc>
      </w:tr>
      <w:tr>
        <w:tblPrEx>
          <w:tblCellMar>
            <w:top w:w="0" w:type="dxa"/>
            <w:left w:w="108" w:type="dxa"/>
            <w:bottom w:w="0" w:type="dxa"/>
            <w:right w:w="108" w:type="dxa"/>
          </w:tblCellMar>
        </w:tblPrEx>
        <w:trPr>
          <w:trHeight w:val="564" w:hRule="atLeast"/>
        </w:trPr>
        <w:tc>
          <w:tcPr>
            <w:tcW w:w="724" w:type="dxa"/>
            <w:tcBorders>
              <w:top w:val="single" w:color="auto" w:sz="4" w:space="0"/>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1</w:t>
            </w:r>
          </w:p>
        </w:tc>
        <w:tc>
          <w:tcPr>
            <w:tcW w:w="1195" w:type="dxa"/>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12301274</w:t>
            </w:r>
          </w:p>
        </w:tc>
        <w:tc>
          <w:tcPr>
            <w:tcW w:w="931" w:type="dxa"/>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刘蒙蒙</w:t>
            </w:r>
          </w:p>
        </w:tc>
        <w:tc>
          <w:tcPr>
            <w:tcW w:w="1418" w:type="dxa"/>
            <w:tcBorders>
              <w:top w:val="single" w:color="auto" w:sz="4" w:space="0"/>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数学科学学院</w:t>
            </w:r>
          </w:p>
        </w:tc>
        <w:tc>
          <w:tcPr>
            <w:tcW w:w="2835" w:type="dxa"/>
            <w:tcBorders>
              <w:top w:val="single" w:color="auto" w:sz="4" w:space="0"/>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几类复杂流体的若干数学问题</w:t>
            </w:r>
          </w:p>
        </w:tc>
        <w:tc>
          <w:tcPr>
            <w:tcW w:w="1936" w:type="dxa"/>
            <w:tcBorders>
              <w:top w:val="single" w:color="auto" w:sz="4" w:space="0"/>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青年科学基金项目</w:t>
            </w:r>
          </w:p>
        </w:tc>
        <w:tc>
          <w:tcPr>
            <w:tcW w:w="1275" w:type="dxa"/>
            <w:tcBorders>
              <w:top w:val="single" w:color="auto" w:sz="4" w:space="0"/>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30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2</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22301095</w:t>
            </w:r>
          </w:p>
        </w:tc>
        <w:tc>
          <w:tcPr>
            <w:tcW w:w="931"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林桃燕</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化学与材料科学学院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钯催化不对称Suzuki-Miyaura偶联反应研究</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青年科学基金项目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30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3</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22301096</w:t>
            </w:r>
          </w:p>
        </w:tc>
        <w:tc>
          <w:tcPr>
            <w:tcW w:w="931"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王银玲</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化学与材料科学学院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含酚木质素基单体的可控自由基聚合</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青年科学基金项目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30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4</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22304058</w:t>
            </w:r>
          </w:p>
        </w:tc>
        <w:tc>
          <w:tcPr>
            <w:tcW w:w="931"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刘根</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化学与材料科学学院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单细胞趋电性迁移及相关膜蛋白的电化学发光可视化研究</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青年科学基金项目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30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5</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52303007</w:t>
            </w:r>
          </w:p>
        </w:tc>
        <w:tc>
          <w:tcPr>
            <w:tcW w:w="931"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许磊</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化学与材料科学学院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基于聚异腈的双螺旋聚合物的合成及其手性分离功能</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青年科学基金项目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30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6</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52372285</w:t>
            </w:r>
          </w:p>
        </w:tc>
        <w:tc>
          <w:tcPr>
            <w:tcW w:w="931"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张素娟</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化学与材料科学学院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无机光-热复合材料与醇氧化-CO2甲烷化体系的双协同效应和催化机制研究</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面上项目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48</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7</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32301376</w:t>
            </w:r>
          </w:p>
        </w:tc>
        <w:tc>
          <w:tcPr>
            <w:tcW w:w="931"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王文平</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生命科学学院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巢湖蓝藻水华暴发过程中原生动物群落构建及两种优势种控藻机制研究</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青年科学基金项目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30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8</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22378156</w:t>
            </w:r>
          </w:p>
        </w:tc>
        <w:tc>
          <w:tcPr>
            <w:tcW w:w="931"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张标</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生命科学学院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中介体CDK8激酶模块调控马克斯克鲁维酵母动态响应热胁迫的机制研究</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面上项目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50</w:t>
            </w:r>
          </w:p>
        </w:tc>
      </w:tr>
      <w:tr>
        <w:tblPrEx>
          <w:tblCellMar>
            <w:top w:w="0" w:type="dxa"/>
            <w:left w:w="108" w:type="dxa"/>
            <w:bottom w:w="0" w:type="dxa"/>
            <w:right w:w="108" w:type="dxa"/>
          </w:tblCellMar>
        </w:tblPrEx>
        <w:trPr>
          <w:trHeight w:val="840"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9</w:t>
            </w:r>
          </w:p>
        </w:tc>
        <w:tc>
          <w:tcPr>
            <w:tcW w:w="1195" w:type="dxa"/>
            <w:tcBorders>
              <w:top w:val="nil"/>
              <w:left w:val="nil"/>
              <w:bottom w:val="single" w:color="000000" w:sz="8"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32372308</w:t>
            </w:r>
          </w:p>
        </w:tc>
        <w:tc>
          <w:tcPr>
            <w:tcW w:w="931"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曾昕</w:t>
            </w:r>
          </w:p>
        </w:tc>
        <w:tc>
          <w:tcPr>
            <w:tcW w:w="1418"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生命科学学院</w:t>
            </w:r>
          </w:p>
        </w:tc>
        <w:tc>
          <w:tcPr>
            <w:tcW w:w="2835"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TetR、LysR转录因子介导霉菌-链霉菌通信驱动ε-聚赖氨酸高效合成的机制</w:t>
            </w:r>
          </w:p>
        </w:tc>
        <w:tc>
          <w:tcPr>
            <w:tcW w:w="1936" w:type="dxa"/>
            <w:tcBorders>
              <w:top w:val="nil"/>
              <w:left w:val="nil"/>
              <w:bottom w:val="single" w:color="000000" w:sz="8"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面上项目</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50</w:t>
            </w:r>
          </w:p>
        </w:tc>
      </w:tr>
      <w:tr>
        <w:tblPrEx>
          <w:tblCellMar>
            <w:top w:w="0" w:type="dxa"/>
            <w:left w:w="108" w:type="dxa"/>
            <w:bottom w:w="0" w:type="dxa"/>
            <w:right w:w="108" w:type="dxa"/>
          </w:tblCellMar>
        </w:tblPrEx>
        <w:trPr>
          <w:trHeight w:val="564" w:hRule="atLeast"/>
        </w:trPr>
        <w:tc>
          <w:tcPr>
            <w:tcW w:w="724" w:type="dxa"/>
            <w:tcBorders>
              <w:top w:val="nil"/>
              <w:left w:val="single" w:color="000000" w:sz="4" w:space="0"/>
              <w:bottom w:val="single" w:color="000000" w:sz="8" w:space="0"/>
              <w:right w:val="single" w:color="000000" w:sz="8" w:space="0"/>
            </w:tcBorders>
            <w:shd w:val="clear" w:color="auto" w:fill="auto"/>
            <w:noWrap/>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10</w:t>
            </w:r>
          </w:p>
        </w:tc>
        <w:tc>
          <w:tcPr>
            <w:tcW w:w="1195" w:type="dxa"/>
            <w:tcBorders>
              <w:top w:val="nil"/>
              <w:left w:val="nil"/>
              <w:bottom w:val="single" w:color="000000" w:sz="4" w:space="0"/>
              <w:right w:val="single" w:color="000000" w:sz="8" w:space="0"/>
            </w:tcBorders>
            <w:shd w:val="clear" w:color="auto" w:fill="auto"/>
            <w:vAlign w:val="center"/>
          </w:tcPr>
          <w:p>
            <w:pPr>
              <w:widowControl/>
              <w:jc w:val="center"/>
              <w:rPr>
                <w:rFonts w:ascii="Arial" w:hAnsi="Arial" w:eastAsia="宋体" w:cs="Arial"/>
                <w:color w:val="333333"/>
                <w:kern w:val="0"/>
                <w:szCs w:val="21"/>
              </w:rPr>
            </w:pPr>
            <w:r>
              <w:rPr>
                <w:rFonts w:ascii="Arial" w:hAnsi="Arial" w:eastAsia="宋体" w:cs="Arial"/>
                <w:color w:val="333333"/>
                <w:kern w:val="0"/>
                <w:szCs w:val="21"/>
              </w:rPr>
              <w:t>82373993</w:t>
            </w:r>
          </w:p>
        </w:tc>
        <w:tc>
          <w:tcPr>
            <w:tcW w:w="931" w:type="dxa"/>
            <w:tcBorders>
              <w:top w:val="nil"/>
              <w:left w:val="nil"/>
              <w:bottom w:val="single" w:color="000000" w:sz="4"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段永波</w:t>
            </w:r>
          </w:p>
        </w:tc>
        <w:tc>
          <w:tcPr>
            <w:tcW w:w="1418" w:type="dxa"/>
            <w:tcBorders>
              <w:top w:val="nil"/>
              <w:left w:val="nil"/>
              <w:bottom w:val="single" w:color="000000" w:sz="4"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生命科学学院</w:t>
            </w:r>
          </w:p>
        </w:tc>
        <w:tc>
          <w:tcPr>
            <w:tcW w:w="2835" w:type="dxa"/>
            <w:tcBorders>
              <w:top w:val="nil"/>
              <w:left w:val="nil"/>
              <w:bottom w:val="single" w:color="000000" w:sz="4"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转录因子PtPIF4响应高温调控半夏耐热性的机理解析</w:t>
            </w:r>
          </w:p>
        </w:tc>
        <w:tc>
          <w:tcPr>
            <w:tcW w:w="1936" w:type="dxa"/>
            <w:tcBorders>
              <w:top w:val="nil"/>
              <w:left w:val="nil"/>
              <w:bottom w:val="single" w:color="000000" w:sz="4" w:space="0"/>
              <w:right w:val="single" w:color="000000" w:sz="8" w:space="0"/>
            </w:tcBorders>
            <w:shd w:val="clear" w:color="auto" w:fill="auto"/>
            <w:vAlign w:val="center"/>
          </w:tcPr>
          <w:p>
            <w:pPr>
              <w:widowControl/>
              <w:jc w:val="left"/>
              <w:rPr>
                <w:rFonts w:ascii="Arial" w:hAnsi="Arial" w:eastAsia="宋体" w:cs="Arial"/>
                <w:color w:val="333333"/>
                <w:kern w:val="0"/>
                <w:szCs w:val="21"/>
              </w:rPr>
            </w:pPr>
            <w:r>
              <w:rPr>
                <w:rFonts w:ascii="Arial" w:hAnsi="Arial" w:eastAsia="宋体" w:cs="Arial"/>
                <w:color w:val="333333"/>
                <w:kern w:val="0"/>
                <w:szCs w:val="21"/>
              </w:rPr>
              <w:t>面上项目</w:t>
            </w:r>
          </w:p>
        </w:tc>
        <w:tc>
          <w:tcPr>
            <w:tcW w:w="1275" w:type="dxa"/>
            <w:tcBorders>
              <w:top w:val="nil"/>
              <w:left w:val="nil"/>
              <w:bottom w:val="single" w:color="000000" w:sz="4" w:space="0"/>
              <w:right w:val="single" w:color="000000" w:sz="8" w:space="0"/>
            </w:tcBorders>
            <w:shd w:val="clear" w:color="auto" w:fill="auto"/>
            <w:noWrap/>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48</w:t>
            </w:r>
          </w:p>
        </w:tc>
      </w:tr>
    </w:tbl>
    <w:p>
      <w:pPr>
        <w:widowControl/>
        <w:shd w:val="clear" w:color="auto" w:fill="FFFFFF"/>
        <w:spacing w:before="100" w:beforeAutospacing="1" w:after="90"/>
        <w:ind w:firstLine="420"/>
        <w:jc w:val="right"/>
        <w:rPr>
          <w:rFonts w:ascii="微软雅黑" w:hAnsi="微软雅黑" w:eastAsia="微软雅黑" w:cs="宋体"/>
          <w:color w:val="333333"/>
          <w:kern w:val="0"/>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NGM0Yzc0ODZhMjAzNGM5MWQ0NjkzMmU5NzhhZDkifQ=="/>
  </w:docVars>
  <w:rsids>
    <w:rsidRoot w:val="00813985"/>
    <w:rsid w:val="00611A8C"/>
    <w:rsid w:val="00685ACB"/>
    <w:rsid w:val="00767835"/>
    <w:rsid w:val="00793C7B"/>
    <w:rsid w:val="007B54F8"/>
    <w:rsid w:val="00813985"/>
    <w:rsid w:val="008739F5"/>
    <w:rsid w:val="0090512E"/>
    <w:rsid w:val="009B2913"/>
    <w:rsid w:val="7A1C3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字符"/>
    <w:basedOn w:val="4"/>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688</Words>
  <Characters>815</Characters>
  <Lines>6</Lines>
  <Paragraphs>1</Paragraphs>
  <TotalTime>57</TotalTime>
  <ScaleCrop>false</ScaleCrop>
  <LinksUpToDate>false</LinksUpToDate>
  <CharactersWithSpaces>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2023-08-27T09:24:00Z</dcterms:created>
  <dc:creator>???</dc:creator>
  <cp:lastModifiedBy>褚晓萌</cp:lastModifiedBy>
  <dcterms:modified xsi:type="dcterms:W3CDTF">2023-08-29T00:33:54Z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0F5B6B4EE9674B1AA75CF895232F9066_13</vt:lpwstr>
  </property>
</Properties>
</file>